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1D" w:rsidRPr="00A1331D" w:rsidRDefault="00A1331D" w:rsidP="00921C7F">
      <w:pPr>
        <w:spacing w:line="400" w:lineRule="exact"/>
        <w:rPr>
          <w:rFonts w:ascii="微軟正黑體" w:eastAsia="微軟正黑體" w:hAnsi="微軟正黑體" w:cs="Arial" w:hint="eastAsia"/>
          <w:b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/>
          <w:bCs/>
          <w:color w:val="000000"/>
          <w:kern w:val="0"/>
          <w:szCs w:val="24"/>
        </w:rPr>
        <w:t>中國法制史學會章程</w:t>
      </w:r>
    </w:p>
    <w:p w:rsidR="00A1331D" w:rsidRPr="00A1331D" w:rsidRDefault="00A1331D" w:rsidP="00921C7F">
      <w:pPr>
        <w:spacing w:line="400" w:lineRule="exact"/>
        <w:rPr>
          <w:rFonts w:ascii="微軟正黑體" w:eastAsia="微軟正黑體" w:hAnsi="微軟正黑體" w:cs="Arial"/>
          <w:bCs/>
          <w:color w:val="000000"/>
          <w:kern w:val="0"/>
          <w:szCs w:val="24"/>
        </w:rPr>
      </w:pPr>
    </w:p>
    <w:p w:rsidR="00A1331D" w:rsidRPr="00A1331D" w:rsidRDefault="00A1331D" w:rsidP="00921C7F">
      <w:pPr>
        <w:spacing w:line="400" w:lineRule="exact"/>
        <w:ind w:left="1416" w:hangingChars="590" w:hanging="1416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◎ 65.09.04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成立大會通過。</w:t>
      </w:r>
    </w:p>
    <w:p w:rsidR="00A1331D" w:rsidRPr="00A1331D" w:rsidRDefault="00A1331D" w:rsidP="00921C7F">
      <w:pPr>
        <w:spacing w:line="400" w:lineRule="exact"/>
        <w:ind w:left="1416" w:hangingChars="590" w:hanging="1416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◎ 67.09.20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會員大會通過修正第十七條第一款及增訂第二十條。</w:t>
      </w:r>
    </w:p>
    <w:p w:rsidR="00A1331D" w:rsidRPr="00A1331D" w:rsidRDefault="00A1331D" w:rsidP="00921C7F">
      <w:pPr>
        <w:spacing w:line="400" w:lineRule="exact"/>
        <w:ind w:left="1416" w:hangingChars="590" w:hanging="1416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◎ 74.09.14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會員大會通過於第十三條後增加一條，稱為第十四條，原</w:t>
      </w:r>
      <w:proofErr w:type="gramStart"/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第十四條改為</w:t>
      </w:r>
      <w:proofErr w:type="gramEnd"/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第十五條，以下順延。</w:t>
      </w:r>
    </w:p>
    <w:p w:rsidR="00A1331D" w:rsidRPr="00A1331D" w:rsidRDefault="00A1331D" w:rsidP="00921C7F">
      <w:pPr>
        <w:spacing w:line="400" w:lineRule="exact"/>
        <w:ind w:left="1416" w:hangingChars="590" w:hanging="1416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◎ 86.12.06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會員大會通過修改第九條、第十八條第一款</w:t>
      </w:r>
    </w:p>
    <w:p w:rsidR="00A1331D" w:rsidRPr="00A1331D" w:rsidRDefault="00A1331D" w:rsidP="00921C7F">
      <w:pPr>
        <w:spacing w:line="400" w:lineRule="exact"/>
        <w:ind w:left="1416" w:hangingChars="590" w:hanging="1416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◎ 90.12.22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會員大會通過修改第十八條第一款</w:t>
      </w:r>
    </w:p>
    <w:p w:rsidR="00A1331D" w:rsidRPr="00A1331D" w:rsidRDefault="00A1331D" w:rsidP="00921C7F">
      <w:pPr>
        <w:spacing w:line="400" w:lineRule="exact"/>
        <w:ind w:left="1416" w:hangingChars="590" w:hanging="1416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◎ 95.03.25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會員大會通過修正第四條、第十七條、第十八條部分用語，並修正第五條、第六條、第七條、第十一條之內容。</w:t>
      </w:r>
    </w:p>
    <w:p w:rsidR="00A1331D" w:rsidRPr="00A1331D" w:rsidRDefault="00A1331D" w:rsidP="00921C7F">
      <w:pPr>
        <w:spacing w:line="400" w:lineRule="exact"/>
        <w:ind w:left="1416" w:hangingChars="590" w:hanging="1416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◎ 104.03.07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會員大會通過修正第十八條第一款</w:t>
      </w:r>
    </w:p>
    <w:p w:rsidR="00A1331D" w:rsidRPr="00A1331D" w:rsidRDefault="00A1331D" w:rsidP="00921C7F">
      <w:pPr>
        <w:spacing w:line="400" w:lineRule="exact"/>
        <w:ind w:left="1416" w:hangingChars="590" w:hanging="1416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◎ 105.03.05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會員大會通過修正第五條第一款、第五條第二款、第六條第一款、第八條第二款、第十一條、第十四條第三款、第十四條第四款、第十七條</w:t>
      </w:r>
    </w:p>
    <w:p w:rsidR="00A1331D" w:rsidRPr="00A1331D" w:rsidRDefault="00A1331D" w:rsidP="00921C7F">
      <w:pPr>
        <w:spacing w:line="400" w:lineRule="exact"/>
        <w:ind w:left="1416" w:hangingChars="590" w:hanging="1416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◎ 108.03.16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會員大會通過修正第十七條第三款、第四款之內容。</w:t>
      </w:r>
    </w:p>
    <w:p w:rsidR="00A1331D" w:rsidRPr="00A1331D" w:rsidRDefault="00A1331D" w:rsidP="00921C7F">
      <w:pPr>
        <w:spacing w:line="400" w:lineRule="exact"/>
        <w:ind w:left="1416" w:hangingChars="590" w:hanging="1416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以下章程劃有底線者，表示係最新修訂之條文。</w:t>
      </w:r>
    </w:p>
    <w:p w:rsidR="00A1331D" w:rsidRPr="00A1331D" w:rsidRDefault="00A1331D" w:rsidP="00921C7F">
      <w:pPr>
        <w:spacing w:line="400" w:lineRule="exact"/>
        <w:rPr>
          <w:rFonts w:ascii="微軟正黑體" w:eastAsia="微軟正黑體" w:hAnsi="微軟正黑體" w:cs="Arial"/>
          <w:bCs/>
          <w:color w:val="000000"/>
          <w:kern w:val="0"/>
          <w:szCs w:val="24"/>
        </w:rPr>
      </w:pPr>
    </w:p>
    <w:p w:rsidR="00A1331D" w:rsidRPr="00A1331D" w:rsidRDefault="00A1331D" w:rsidP="00921C7F">
      <w:pPr>
        <w:spacing w:line="400" w:lineRule="exact"/>
        <w:rPr>
          <w:rFonts w:ascii="微軟正黑體" w:eastAsia="微軟正黑體" w:hAnsi="微軟正黑體" w:cs="Arial" w:hint="eastAsia"/>
          <w:b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/>
          <w:bCs/>
          <w:color w:val="000000"/>
          <w:kern w:val="0"/>
          <w:szCs w:val="24"/>
        </w:rPr>
        <w:t>第一章</w:t>
      </w:r>
      <w:r>
        <w:rPr>
          <w:rFonts w:ascii="微軟正黑體" w:eastAsia="微軟正黑體" w:hAnsi="微軟正黑體" w:cs="Arial" w:hint="eastAsia"/>
          <w:b/>
          <w:bCs/>
          <w:color w:val="000000"/>
          <w:kern w:val="0"/>
          <w:szCs w:val="24"/>
        </w:rPr>
        <w:t xml:space="preserve"> </w:t>
      </w:r>
      <w:r w:rsidRPr="00A1331D">
        <w:rPr>
          <w:rFonts w:ascii="微軟正黑體" w:eastAsia="微軟正黑體" w:hAnsi="微軟正黑體" w:cs="Arial" w:hint="eastAsia"/>
          <w:b/>
          <w:bCs/>
          <w:color w:val="000000"/>
          <w:kern w:val="0"/>
          <w:szCs w:val="24"/>
        </w:rPr>
        <w:t>總則</w:t>
      </w:r>
    </w:p>
    <w:p w:rsidR="00A1331D" w:rsidRPr="00A1331D" w:rsidRDefault="00A1331D" w:rsidP="00921C7F">
      <w:pPr>
        <w:spacing w:line="400" w:lineRule="exact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 xml:space="preserve"> 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第一條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本會定名為中國法制史學會。</w:t>
      </w:r>
    </w:p>
    <w:p w:rsidR="00A1331D" w:rsidRPr="00A1331D" w:rsidRDefault="00A1331D" w:rsidP="00921C7F">
      <w:pPr>
        <w:spacing w:line="400" w:lineRule="exact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 xml:space="preserve"> 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第二條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本會以中國法制史及比較法制史之研究為宗旨。</w:t>
      </w:r>
    </w:p>
    <w:p w:rsidR="00A1331D" w:rsidRDefault="00A1331D" w:rsidP="00921C7F">
      <w:pPr>
        <w:spacing w:line="400" w:lineRule="exact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 xml:space="preserve"> 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第三條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本會會址設於中央政府所在地。</w:t>
      </w:r>
    </w:p>
    <w:p w:rsidR="00A1331D" w:rsidRPr="00A1331D" w:rsidRDefault="00A1331D" w:rsidP="00921C7F">
      <w:pPr>
        <w:spacing w:line="400" w:lineRule="exact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</w:p>
    <w:p w:rsidR="00A1331D" w:rsidRPr="00A1331D" w:rsidRDefault="00A1331D" w:rsidP="00921C7F">
      <w:pPr>
        <w:spacing w:line="400" w:lineRule="exact"/>
        <w:rPr>
          <w:rFonts w:ascii="微軟正黑體" w:eastAsia="微軟正黑體" w:hAnsi="微軟正黑體" w:cs="Arial" w:hint="eastAsia"/>
          <w:b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/>
          <w:bCs/>
          <w:color w:val="000000"/>
          <w:kern w:val="0"/>
          <w:szCs w:val="24"/>
        </w:rPr>
        <w:t>第二章任務</w:t>
      </w:r>
    </w:p>
    <w:p w:rsidR="00A1331D" w:rsidRPr="00A1331D" w:rsidRDefault="00A1331D" w:rsidP="00921C7F">
      <w:pPr>
        <w:spacing w:line="400" w:lineRule="exact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 xml:space="preserve"> 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第四條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本會之任務如下：</w:t>
      </w:r>
    </w:p>
    <w:p w:rsidR="00A1331D" w:rsidRPr="00A1331D" w:rsidRDefault="00A1331D" w:rsidP="00921C7F">
      <w:pPr>
        <w:pStyle w:val="a7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舉辦討論會及學術演講會</w:t>
      </w:r>
    </w:p>
    <w:p w:rsidR="00A1331D" w:rsidRPr="00A1331D" w:rsidRDefault="00A1331D" w:rsidP="00921C7F">
      <w:pPr>
        <w:pStyle w:val="a7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發行學術著作及定期刊物。</w:t>
      </w:r>
    </w:p>
    <w:p w:rsidR="00A1331D" w:rsidRPr="00A1331D" w:rsidRDefault="00A1331D" w:rsidP="00921C7F">
      <w:pPr>
        <w:pStyle w:val="a7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促進與外國學術界之交流。</w:t>
      </w:r>
    </w:p>
    <w:p w:rsidR="00A1331D" w:rsidRDefault="00A1331D" w:rsidP="00921C7F">
      <w:pPr>
        <w:pStyle w:val="a7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其他有關法制史研究之事項。</w:t>
      </w:r>
    </w:p>
    <w:p w:rsidR="00A1331D" w:rsidRPr="00A1331D" w:rsidRDefault="00A1331D" w:rsidP="00921C7F">
      <w:pPr>
        <w:pStyle w:val="a7"/>
        <w:spacing w:line="400" w:lineRule="exact"/>
        <w:ind w:leftChars="0" w:left="144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</w:p>
    <w:p w:rsidR="00A1331D" w:rsidRPr="00A1331D" w:rsidRDefault="00A1331D" w:rsidP="00921C7F">
      <w:pPr>
        <w:spacing w:line="400" w:lineRule="exact"/>
        <w:rPr>
          <w:rFonts w:ascii="微軟正黑體" w:eastAsia="微軟正黑體" w:hAnsi="微軟正黑體" w:cs="Arial" w:hint="eastAsia"/>
          <w:b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/>
          <w:bCs/>
          <w:color w:val="000000"/>
          <w:kern w:val="0"/>
          <w:szCs w:val="24"/>
        </w:rPr>
        <w:t>第三章會員</w:t>
      </w:r>
    </w:p>
    <w:p w:rsidR="00A1331D" w:rsidRPr="00A1331D" w:rsidRDefault="00A1331D" w:rsidP="00921C7F">
      <w:pPr>
        <w:spacing w:line="400" w:lineRule="exact"/>
        <w:ind w:leftChars="200" w:left="1416" w:hangingChars="390" w:hanging="936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第五條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凡認同本會宗旨並具備下列條件者，得為本會會員，惟會員身分由當事人自行選擇：</w:t>
      </w:r>
    </w:p>
    <w:p w:rsidR="00A1331D" w:rsidRPr="004B4A72" w:rsidRDefault="00A1331D" w:rsidP="00921C7F">
      <w:pPr>
        <w:pStyle w:val="a7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4B4A72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普通會員：從事法制史及相關領域研究之學者，或對法制史有研究興趣與心得者，經理事會審查通過，得為普通會員。</w:t>
      </w:r>
    </w:p>
    <w:p w:rsidR="00A1331D" w:rsidRPr="004B4A72" w:rsidRDefault="00A1331D" w:rsidP="00921C7F">
      <w:pPr>
        <w:pStyle w:val="a7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4B4A72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學生會員：就讀於大學或研究所碩、博士班，從事法制史及相關領域研</w:t>
      </w:r>
      <w:r w:rsidRPr="004B4A72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lastRenderedPageBreak/>
        <w:t>究或對法制史有研究興趣與心得之學生，經理事會審查通過，得為學生會員。</w:t>
      </w:r>
    </w:p>
    <w:p w:rsidR="00A1331D" w:rsidRPr="004B4A72" w:rsidRDefault="00A1331D" w:rsidP="00921C7F">
      <w:pPr>
        <w:pStyle w:val="a7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4B4A72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榮譽會員：對法制史學術研究或本會之發展有特殊貢獻之人士，經理事會審查通過者，得邀請為榮譽會員。</w:t>
      </w:r>
    </w:p>
    <w:p w:rsidR="004B4A72" w:rsidRDefault="00A1331D" w:rsidP="00921C7F">
      <w:pPr>
        <w:spacing w:line="400" w:lineRule="exact"/>
        <w:ind w:left="1416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4B4A72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普通會員、學生會員之入會，須由至少一人以上之介紹，並經理事會審查通過。學生會員畢業後，即自動轉成普通會員，無須再行審查。</w:t>
      </w:r>
    </w:p>
    <w:p w:rsidR="00A1331D" w:rsidRPr="004B4A72" w:rsidRDefault="00A1331D" w:rsidP="00921C7F">
      <w:pPr>
        <w:spacing w:line="400" w:lineRule="exact"/>
        <w:ind w:left="1416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4B4A72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榮譽會員之入會，須由會員五人以上之推薦，並經理事會審查通過。</w:t>
      </w:r>
    </w:p>
    <w:p w:rsidR="00A1331D" w:rsidRPr="00A1331D" w:rsidRDefault="00A1331D" w:rsidP="00921C7F">
      <w:pPr>
        <w:spacing w:line="400" w:lineRule="exact"/>
        <w:ind w:firstLineChars="200" w:firstLine="48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第六條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本會會員有下列權利：</w:t>
      </w:r>
    </w:p>
    <w:p w:rsidR="00A1331D" w:rsidRPr="004B4A72" w:rsidRDefault="00A1331D" w:rsidP="00921C7F">
      <w:pPr>
        <w:pStyle w:val="a7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4B4A72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發言權及表決權。</w:t>
      </w:r>
    </w:p>
    <w:p w:rsidR="00A1331D" w:rsidRPr="004B4A72" w:rsidRDefault="00A1331D" w:rsidP="00921C7F">
      <w:pPr>
        <w:pStyle w:val="a7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4B4A72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選舉權及被選舉權。</w:t>
      </w:r>
    </w:p>
    <w:p w:rsidR="00A1331D" w:rsidRPr="004B4A72" w:rsidRDefault="00A1331D" w:rsidP="00921C7F">
      <w:pPr>
        <w:pStyle w:val="a7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4B4A72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參與第四條所列各款活動。</w:t>
      </w:r>
    </w:p>
    <w:p w:rsidR="004B4A72" w:rsidRPr="004B4A72" w:rsidRDefault="00A1331D" w:rsidP="00921C7F">
      <w:pPr>
        <w:pStyle w:val="a7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4B4A72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其他權利。</w:t>
      </w:r>
    </w:p>
    <w:p w:rsidR="00A1331D" w:rsidRPr="00A1331D" w:rsidRDefault="00A1331D" w:rsidP="00921C7F">
      <w:pPr>
        <w:spacing w:line="400" w:lineRule="exact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 xml:space="preserve"> 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第七條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本會會員有左列義務：</w:t>
      </w:r>
    </w:p>
    <w:p w:rsidR="00A1331D" w:rsidRPr="004B4A72" w:rsidRDefault="00A1331D" w:rsidP="00921C7F">
      <w:pPr>
        <w:pStyle w:val="a7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4B4A72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遵守本會章程及決議</w:t>
      </w:r>
    </w:p>
    <w:p w:rsidR="00A1331D" w:rsidRPr="004B4A72" w:rsidRDefault="00A1331D" w:rsidP="00921C7F">
      <w:pPr>
        <w:pStyle w:val="a7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4B4A72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繳納會費。</w:t>
      </w:r>
    </w:p>
    <w:p w:rsidR="00A1331D" w:rsidRPr="00A1331D" w:rsidRDefault="00A1331D" w:rsidP="00921C7F">
      <w:pPr>
        <w:spacing w:line="400" w:lineRule="exact"/>
        <w:ind w:leftChars="600" w:left="144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前項第二款之義務，於榮譽會員不適用之。</w:t>
      </w:r>
    </w:p>
    <w:p w:rsidR="00A1331D" w:rsidRPr="00C61CCA" w:rsidRDefault="00A1331D" w:rsidP="00921C7F">
      <w:pPr>
        <w:spacing w:line="400" w:lineRule="exact"/>
        <w:rPr>
          <w:rFonts w:ascii="微軟正黑體" w:eastAsia="微軟正黑體" w:hAnsi="微軟正黑體" w:cs="Arial" w:hint="eastAsia"/>
          <w:b/>
          <w:bCs/>
          <w:color w:val="000000"/>
          <w:kern w:val="0"/>
          <w:szCs w:val="24"/>
        </w:rPr>
      </w:pPr>
      <w:r w:rsidRPr="00C61CCA">
        <w:rPr>
          <w:rFonts w:ascii="微軟正黑體" w:eastAsia="微軟正黑體" w:hAnsi="微軟正黑體" w:cs="Arial" w:hint="eastAsia"/>
          <w:b/>
          <w:bCs/>
          <w:color w:val="000000"/>
          <w:kern w:val="0"/>
          <w:szCs w:val="24"/>
        </w:rPr>
        <w:t>第四章組織</w:t>
      </w:r>
    </w:p>
    <w:p w:rsidR="00A1331D" w:rsidRPr="00A1331D" w:rsidRDefault="00A1331D" w:rsidP="00921C7F">
      <w:pPr>
        <w:spacing w:line="400" w:lineRule="exact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 xml:space="preserve"> 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第八條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本會以會員大會為最高意思機關。</w:t>
      </w:r>
    </w:p>
    <w:p w:rsidR="00A1331D" w:rsidRPr="00A1331D" w:rsidRDefault="00A1331D" w:rsidP="00921C7F">
      <w:pPr>
        <w:spacing w:line="400" w:lineRule="exact"/>
        <w:ind w:leftChars="590" w:left="1416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本會會員大會每年召開一次，必要時得召開臨時大會，會員需親自或委任出席，會員大會之開會方式不得以視訊會議為之。</w:t>
      </w:r>
    </w:p>
    <w:p w:rsidR="00A1331D" w:rsidRPr="00A1331D" w:rsidRDefault="00A1331D" w:rsidP="00921C7F">
      <w:pPr>
        <w:spacing w:line="400" w:lineRule="exact"/>
        <w:ind w:leftChars="200" w:left="1416" w:hangingChars="390" w:hanging="936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第九條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本會設理事會為執行機關，置理事十一人，由會員大會選舉之，並由理事互選</w:t>
      </w:r>
      <w:proofErr w:type="gramStart"/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一</w:t>
      </w:r>
      <w:proofErr w:type="gramEnd"/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人為理事長，綜理會務並對外代表本會。</w:t>
      </w:r>
    </w:p>
    <w:p w:rsidR="00A360D6" w:rsidRDefault="00A1331D" w:rsidP="00921C7F">
      <w:pPr>
        <w:spacing w:line="400" w:lineRule="exact"/>
        <w:ind w:leftChars="200" w:left="1416" w:hangingChars="390" w:hanging="936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第十條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本會設監事會為監督機關。置監事三人。由會員大會選舉之，並互選</w:t>
      </w:r>
      <w:proofErr w:type="gramStart"/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一</w:t>
      </w:r>
      <w:proofErr w:type="gramEnd"/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人為常務監事。</w:t>
      </w:r>
    </w:p>
    <w:p w:rsidR="00A360D6" w:rsidRDefault="00A1331D" w:rsidP="00921C7F">
      <w:pPr>
        <w:spacing w:line="400" w:lineRule="exact"/>
        <w:ind w:leftChars="200" w:left="1841" w:hangingChars="567" w:hanging="1361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第十一條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本會理事會、監事會，每六</w:t>
      </w:r>
      <w:proofErr w:type="gramStart"/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個</w:t>
      </w:r>
      <w:proofErr w:type="gramEnd"/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月召開一次，必要時得召開理監事聯席會議或臨時會。理事會議及監事會議得以視訊會議為之，其理事或監事以視訊參與會議者，視為親自出席。但如涉及選舉、罷免事宜，不得</w:t>
      </w:r>
      <w:proofErr w:type="gramStart"/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採</w:t>
      </w:r>
      <w:proofErr w:type="gramEnd"/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行視訊會議。</w:t>
      </w:r>
    </w:p>
    <w:p w:rsidR="00A360D6" w:rsidRDefault="00A1331D" w:rsidP="00921C7F">
      <w:pPr>
        <w:spacing w:line="400" w:lineRule="exact"/>
        <w:ind w:leftChars="200" w:left="1841" w:hangingChars="567" w:hanging="1361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第十二條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本會理</w:t>
      </w:r>
      <w:proofErr w:type="gramStart"/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監事均為義務</w:t>
      </w:r>
      <w:proofErr w:type="gramEnd"/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職，任期各為二年，連選得連任。</w:t>
      </w:r>
    </w:p>
    <w:p w:rsidR="00A1331D" w:rsidRPr="00A1331D" w:rsidRDefault="00A1331D" w:rsidP="00921C7F">
      <w:pPr>
        <w:spacing w:line="400" w:lineRule="exact"/>
        <w:ind w:leftChars="200" w:left="1841" w:hangingChars="567" w:hanging="1361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第十三條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本會理事有不得已事由，經會員大會之決議，得辭去其職務。</w:t>
      </w:r>
    </w:p>
    <w:p w:rsidR="00A1331D" w:rsidRPr="00A1331D" w:rsidRDefault="00A1331D" w:rsidP="00921C7F">
      <w:pPr>
        <w:spacing w:line="400" w:lineRule="exact"/>
        <w:ind w:left="1841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本會理監事</w:t>
      </w:r>
      <w:proofErr w:type="gramStart"/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怠</w:t>
      </w:r>
      <w:proofErr w:type="gramEnd"/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於職務、違反法令，或有其他重大事由者，經會員大會決議，予以解職。</w:t>
      </w:r>
    </w:p>
    <w:p w:rsidR="00A1331D" w:rsidRPr="00A1331D" w:rsidRDefault="00A1331D" w:rsidP="00921C7F">
      <w:pPr>
        <w:spacing w:line="400" w:lineRule="exact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 xml:space="preserve"> 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第十四條</w:t>
      </w:r>
      <w:r w:rsidR="00921C7F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 xml:space="preserve">   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會員得隨時以書面向理事會聲明退會。</w:t>
      </w:r>
    </w:p>
    <w:p w:rsidR="00A1331D" w:rsidRPr="00A1331D" w:rsidRDefault="00A1331D" w:rsidP="00921C7F">
      <w:pPr>
        <w:spacing w:line="400" w:lineRule="exact"/>
        <w:ind w:left="182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會員連續三年無正當理由未出席會員大會，或積欠二年會費即自動停權，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lastRenderedPageBreak/>
        <w:t>並由理事會決議除名後提交會員大會表決，但在未為除名之決議前已繳清所欠會費者，准予復權。</w:t>
      </w:r>
    </w:p>
    <w:p w:rsidR="00A1331D" w:rsidRPr="00A1331D" w:rsidRDefault="00A1331D" w:rsidP="00921C7F">
      <w:pPr>
        <w:spacing w:line="400" w:lineRule="exact"/>
        <w:ind w:left="1841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會籍之起算日為每年之四月一日。</w:t>
      </w:r>
    </w:p>
    <w:p w:rsidR="00A1331D" w:rsidRPr="00A1331D" w:rsidRDefault="00A1331D" w:rsidP="00921C7F">
      <w:pPr>
        <w:spacing w:line="400" w:lineRule="exact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 xml:space="preserve"> 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第十五條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本會得設置各種委員會，其委員由理事會聘任之。</w:t>
      </w:r>
    </w:p>
    <w:p w:rsidR="00A1331D" w:rsidRPr="00A1331D" w:rsidRDefault="00A1331D" w:rsidP="00921C7F">
      <w:pPr>
        <w:spacing w:line="400" w:lineRule="exact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 xml:space="preserve"> 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第十六條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理事會得聘請對中外法制史卓有研究之學者為本會顧問。</w:t>
      </w:r>
    </w:p>
    <w:p w:rsidR="00A1331D" w:rsidRPr="00A1331D" w:rsidRDefault="00A1331D" w:rsidP="00921C7F">
      <w:pPr>
        <w:spacing w:line="400" w:lineRule="exact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 xml:space="preserve"> 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第十七條</w:t>
      </w:r>
      <w:r w:rsidR="00E13E60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本會設秘書長一人、財務長一人、秘書若干人。</w:t>
      </w:r>
    </w:p>
    <w:p w:rsidR="00A1331D" w:rsidRPr="00A1331D" w:rsidRDefault="00A1331D" w:rsidP="00921C7F">
      <w:pPr>
        <w:spacing w:line="400" w:lineRule="exact"/>
        <w:ind w:left="182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本會出版之法制史研究，設總編輯一人、執行編輯、助理編輯若干人。</w:t>
      </w:r>
    </w:p>
    <w:p w:rsidR="00A1331D" w:rsidRPr="00A1331D" w:rsidRDefault="00A1331D" w:rsidP="00921C7F">
      <w:pPr>
        <w:spacing w:line="400" w:lineRule="exact"/>
        <w:ind w:left="182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第一項之人選，由理事長提名，經理事會同意後聘任之，解任時亦同。</w:t>
      </w:r>
    </w:p>
    <w:p w:rsidR="00A1331D" w:rsidRPr="00A1331D" w:rsidRDefault="00A1331D" w:rsidP="00921C7F">
      <w:pPr>
        <w:spacing w:line="400" w:lineRule="exact"/>
        <w:ind w:left="182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總編輯由理事長推薦，經理事會同意後聘任，解任時亦同。任期兩年，連選得連任。執行編輯與助理編輯由總編輯推薦，經編輯委員會同意後聘任，解任時亦同。任期兩年，連選得連任。</w:t>
      </w:r>
    </w:p>
    <w:p w:rsidR="00A1331D" w:rsidRPr="00A1331D" w:rsidRDefault="00A1331D" w:rsidP="00921C7F">
      <w:pPr>
        <w:spacing w:line="400" w:lineRule="exact"/>
        <w:rPr>
          <w:rFonts w:ascii="微軟正黑體" w:eastAsia="微軟正黑體" w:hAnsi="微軟正黑體" w:cs="Arial"/>
          <w:bCs/>
          <w:color w:val="000000"/>
          <w:kern w:val="0"/>
          <w:szCs w:val="24"/>
        </w:rPr>
      </w:pPr>
    </w:p>
    <w:p w:rsidR="00A1331D" w:rsidRPr="00921C7F" w:rsidRDefault="00A1331D" w:rsidP="00921C7F">
      <w:pPr>
        <w:spacing w:line="400" w:lineRule="exact"/>
        <w:rPr>
          <w:rFonts w:ascii="微軟正黑體" w:eastAsia="微軟正黑體" w:hAnsi="微軟正黑體" w:cs="Arial" w:hint="eastAsia"/>
          <w:b/>
          <w:bCs/>
          <w:color w:val="000000"/>
          <w:kern w:val="0"/>
          <w:szCs w:val="24"/>
        </w:rPr>
      </w:pPr>
      <w:r w:rsidRPr="00921C7F">
        <w:rPr>
          <w:rFonts w:ascii="微軟正黑體" w:eastAsia="微軟正黑體" w:hAnsi="微軟正黑體" w:cs="Arial" w:hint="eastAsia"/>
          <w:b/>
          <w:bCs/>
          <w:color w:val="000000"/>
          <w:kern w:val="0"/>
          <w:szCs w:val="24"/>
        </w:rPr>
        <w:t>第五章經費</w:t>
      </w:r>
    </w:p>
    <w:p w:rsidR="00A1331D" w:rsidRPr="00A1331D" w:rsidRDefault="00A1331D" w:rsidP="00921C7F">
      <w:pPr>
        <w:spacing w:line="400" w:lineRule="exact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 xml:space="preserve"> 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第十八條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本會經費來源如下：</w:t>
      </w:r>
    </w:p>
    <w:p w:rsidR="00A1331D" w:rsidRPr="00921C7F" w:rsidRDefault="00A1331D" w:rsidP="00921C7F">
      <w:pPr>
        <w:pStyle w:val="a7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921C7F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普通會員會費每年新台幣二千元，學生會員一千元。</w:t>
      </w:r>
    </w:p>
    <w:p w:rsidR="00A1331D" w:rsidRPr="00921C7F" w:rsidRDefault="00A1331D" w:rsidP="00921C7F">
      <w:pPr>
        <w:pStyle w:val="a7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921C7F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補助費。</w:t>
      </w:r>
    </w:p>
    <w:p w:rsidR="00A1331D" w:rsidRPr="00921C7F" w:rsidRDefault="00A1331D" w:rsidP="00921C7F">
      <w:pPr>
        <w:pStyle w:val="a7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921C7F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捐款。</w:t>
      </w:r>
    </w:p>
    <w:p w:rsidR="00A1331D" w:rsidRPr="00921C7F" w:rsidRDefault="00A1331D" w:rsidP="00921C7F">
      <w:pPr>
        <w:pStyle w:val="a7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921C7F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其他收入。</w:t>
      </w:r>
      <w:bookmarkStart w:id="0" w:name="_GoBack"/>
      <w:bookmarkEnd w:id="0"/>
    </w:p>
    <w:p w:rsidR="00A1331D" w:rsidRPr="00921C7F" w:rsidRDefault="00A1331D" w:rsidP="00921C7F">
      <w:pPr>
        <w:spacing w:line="400" w:lineRule="exact"/>
        <w:rPr>
          <w:rFonts w:ascii="微軟正黑體" w:eastAsia="微軟正黑體" w:hAnsi="微軟正黑體" w:cs="Arial" w:hint="eastAsia"/>
          <w:b/>
          <w:bCs/>
          <w:color w:val="000000"/>
          <w:kern w:val="0"/>
          <w:szCs w:val="24"/>
        </w:rPr>
      </w:pPr>
      <w:r w:rsidRPr="00921C7F">
        <w:rPr>
          <w:rFonts w:ascii="微軟正黑體" w:eastAsia="微軟正黑體" w:hAnsi="微軟正黑體" w:cs="Arial" w:hint="eastAsia"/>
          <w:b/>
          <w:bCs/>
          <w:color w:val="000000"/>
          <w:kern w:val="0"/>
          <w:szCs w:val="24"/>
        </w:rPr>
        <w:t>第六章附則</w:t>
      </w:r>
    </w:p>
    <w:p w:rsidR="00A1331D" w:rsidRPr="00A1331D" w:rsidRDefault="00A1331D" w:rsidP="00921C7F">
      <w:pPr>
        <w:spacing w:line="400" w:lineRule="exact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 xml:space="preserve"> 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第十九條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本會辦事細則，由理事會另訂之。</w:t>
      </w:r>
    </w:p>
    <w:p w:rsidR="00921C7F" w:rsidRDefault="00A1331D" w:rsidP="00921C7F">
      <w:pPr>
        <w:spacing w:line="400" w:lineRule="exact"/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</w:pP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 xml:space="preserve"> 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第二十條</w:t>
      </w:r>
      <w:r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本會章程經會員大會通過，報請內政部核准後實施，修改時亦同。</w:t>
      </w:r>
    </w:p>
    <w:p w:rsidR="00166FAA" w:rsidRPr="00921C7F" w:rsidRDefault="00921C7F" w:rsidP="00921C7F">
      <w:pPr>
        <w:spacing w:line="400" w:lineRule="exact"/>
        <w:ind w:left="1918" w:hangingChars="799" w:hanging="1918"/>
        <w:rPr>
          <w:rFonts w:ascii="微軟正黑體" w:eastAsia="微軟正黑體" w:hAnsi="微軟正黑體" w:cs="Arial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 xml:space="preserve">    </w:t>
      </w:r>
      <w:r w:rsidR="00A1331D"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>第二十一條</w:t>
      </w:r>
      <w:r w:rsidR="00A1331D" w:rsidRPr="00A1331D">
        <w:rPr>
          <w:rFonts w:ascii="微軟正黑體" w:eastAsia="微軟正黑體" w:hAnsi="微軟正黑體" w:cs="Arial" w:hint="eastAsia"/>
          <w:bCs/>
          <w:color w:val="000000"/>
          <w:kern w:val="0"/>
          <w:szCs w:val="24"/>
        </w:rPr>
        <w:tab/>
        <w:t>本會解散或撤銷時，所有現有財產，應依法處理，不得以任何方式歸屬任何個人或私人企業所有，應歸屬自治團體或政府所有。</w:t>
      </w:r>
    </w:p>
    <w:sectPr w:rsidR="00166FAA" w:rsidRPr="00921C7F" w:rsidSect="002B62C5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AE" w:rsidRDefault="009A4AAE" w:rsidP="0034395E">
      <w:r>
        <w:separator/>
      </w:r>
    </w:p>
  </w:endnote>
  <w:endnote w:type="continuationSeparator" w:id="0">
    <w:p w:rsidR="009A4AAE" w:rsidRDefault="009A4AAE" w:rsidP="0034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AE" w:rsidRDefault="009A4AAE" w:rsidP="0034395E">
      <w:r>
        <w:separator/>
      </w:r>
    </w:p>
  </w:footnote>
  <w:footnote w:type="continuationSeparator" w:id="0">
    <w:p w:rsidR="009A4AAE" w:rsidRDefault="009A4AAE" w:rsidP="0034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D2318"/>
    <w:multiLevelType w:val="hybridMultilevel"/>
    <w:tmpl w:val="129E771C"/>
    <w:lvl w:ilvl="0" w:tplc="E68AD316">
      <w:start w:val="1"/>
      <w:numFmt w:val="taiwaneseCountingThousand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417B4C7F"/>
    <w:multiLevelType w:val="hybridMultilevel"/>
    <w:tmpl w:val="C76CFECC"/>
    <w:lvl w:ilvl="0" w:tplc="E68AD316">
      <w:start w:val="1"/>
      <w:numFmt w:val="taiwaneseCountingThousand"/>
      <w:lvlText w:val="%1.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">
    <w:nsid w:val="4B9C6948"/>
    <w:multiLevelType w:val="hybridMultilevel"/>
    <w:tmpl w:val="6902D3AE"/>
    <w:lvl w:ilvl="0" w:tplc="E68AD316">
      <w:start w:val="1"/>
      <w:numFmt w:val="taiwaneseCountingThousand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56F9443E"/>
    <w:multiLevelType w:val="hybridMultilevel"/>
    <w:tmpl w:val="98A46A9A"/>
    <w:lvl w:ilvl="0" w:tplc="E68AD316">
      <w:start w:val="1"/>
      <w:numFmt w:val="taiwaneseCountingThousand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62011F19"/>
    <w:multiLevelType w:val="hybridMultilevel"/>
    <w:tmpl w:val="8AD22526"/>
    <w:lvl w:ilvl="0" w:tplc="E68AD316">
      <w:start w:val="1"/>
      <w:numFmt w:val="taiwaneseCountingThousand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C5"/>
    <w:rsid w:val="000407BA"/>
    <w:rsid w:val="00166FAA"/>
    <w:rsid w:val="002B62C5"/>
    <w:rsid w:val="0034395E"/>
    <w:rsid w:val="004B4A72"/>
    <w:rsid w:val="00622A02"/>
    <w:rsid w:val="00921C7F"/>
    <w:rsid w:val="009A4AAE"/>
    <w:rsid w:val="00A1331D"/>
    <w:rsid w:val="00A360D6"/>
    <w:rsid w:val="00C54991"/>
    <w:rsid w:val="00C61CCA"/>
    <w:rsid w:val="00D87E7A"/>
    <w:rsid w:val="00E1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62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43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39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3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395E"/>
    <w:rPr>
      <w:sz w:val="20"/>
      <w:szCs w:val="20"/>
    </w:rPr>
  </w:style>
  <w:style w:type="paragraph" w:styleId="a7">
    <w:name w:val="List Paragraph"/>
    <w:basedOn w:val="a"/>
    <w:uiPriority w:val="34"/>
    <w:qFormat/>
    <w:rsid w:val="00A1331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62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43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39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3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395E"/>
    <w:rPr>
      <w:sz w:val="20"/>
      <w:szCs w:val="20"/>
    </w:rPr>
  </w:style>
  <w:style w:type="paragraph" w:styleId="a7">
    <w:name w:val="List Paragraph"/>
    <w:basedOn w:val="a"/>
    <w:uiPriority w:val="34"/>
    <w:qFormat/>
    <w:rsid w:val="00A133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132">
              <w:marLeft w:val="0"/>
              <w:marRight w:val="0"/>
              <w:marTop w:val="0"/>
              <w:marBottom w:val="0"/>
              <w:divBdr>
                <w:top w:val="single" w:sz="18" w:space="15" w:color="FFFFFF"/>
                <w:left w:val="none" w:sz="0" w:space="0" w:color="auto"/>
                <w:bottom w:val="single" w:sz="18" w:space="15" w:color="FFFFFF"/>
                <w:right w:val="none" w:sz="0" w:space="0" w:color="auto"/>
              </w:divBdr>
              <w:divsChild>
                <w:div w:id="712340756">
                  <w:marLeft w:val="0"/>
                  <w:marRight w:val="0"/>
                  <w:marTop w:val="100"/>
                  <w:marBottom w:val="100"/>
                  <w:divBdr>
                    <w:top w:val="single" w:sz="24" w:space="0" w:color="251D1C"/>
                    <w:left w:val="single" w:sz="24" w:space="0" w:color="251D1C"/>
                    <w:bottom w:val="single" w:sz="24" w:space="0" w:color="251D1C"/>
                    <w:right w:val="single" w:sz="24" w:space="0" w:color="251D1C"/>
                  </w:divBdr>
                  <w:divsChild>
                    <w:div w:id="10784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7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3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5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Elven Hwang(黃英欽)</dc:creator>
  <cp:lastModifiedBy>Adam Lee</cp:lastModifiedBy>
  <cp:revision>8</cp:revision>
  <dcterms:created xsi:type="dcterms:W3CDTF">2019-03-19T10:06:00Z</dcterms:created>
  <dcterms:modified xsi:type="dcterms:W3CDTF">2019-03-19T10:18:00Z</dcterms:modified>
</cp:coreProperties>
</file>